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27" w:rsidRDefault="004D5B27">
      <w:pPr>
        <w:pStyle w:val="ConsPlusTitle"/>
        <w:jc w:val="center"/>
        <w:outlineLvl w:val="0"/>
      </w:pPr>
      <w:r>
        <w:t>МИНИСТЕРСТВО ТРУДА И СОЦИАЛЬНОЙ ЗАЩИТЫ РОССИЙСКОЙ ФЕДЕРАЦИИ</w:t>
      </w:r>
    </w:p>
    <w:p w:rsidR="004D5B27" w:rsidRDefault="004D5B27">
      <w:pPr>
        <w:pStyle w:val="ConsPlusTitle"/>
        <w:jc w:val="center"/>
      </w:pPr>
    </w:p>
    <w:p w:rsidR="004D5B27" w:rsidRDefault="004D5B27">
      <w:pPr>
        <w:pStyle w:val="ConsPlusTitle"/>
        <w:jc w:val="center"/>
      </w:pPr>
      <w:r>
        <w:t>МЕТОДИЧЕСКИЕ РЕКОМЕНДАЦИИ</w:t>
      </w:r>
    </w:p>
    <w:p w:rsidR="004D5B27" w:rsidRDefault="004D5B27">
      <w:pPr>
        <w:pStyle w:val="ConsPlusTitle"/>
        <w:jc w:val="center"/>
      </w:pPr>
      <w:r>
        <w:t>ПО ВЫЯВЛЕНИЮ И МИНИМИЗАЦИИ КОРРУПЦИОННЫХ РИСКОВ</w:t>
      </w:r>
    </w:p>
    <w:p w:rsidR="004D5B27" w:rsidRDefault="004D5B27">
      <w:pPr>
        <w:pStyle w:val="ConsPlusTitle"/>
        <w:jc w:val="center"/>
      </w:pPr>
      <w:r>
        <w:t>ПРИ ОСУЩЕСТВЛЕНИИ ЗАКУПОК ТОВАРОВ, РАБОТ, УСЛУГ</w:t>
      </w:r>
    </w:p>
    <w:p w:rsidR="004D5B27" w:rsidRDefault="004D5B27">
      <w:pPr>
        <w:pStyle w:val="ConsPlusTitle"/>
        <w:jc w:val="center"/>
      </w:pPr>
      <w:r>
        <w:t>ДЛЯ ОБЕСПЕЧЕНИЯ ГОСУДАРСТВЕННЫХ ИЛИ МУНИЦИПАЛЬНЫХ НУЖД</w:t>
      </w:r>
    </w:p>
    <w:p w:rsidR="004D5B27" w:rsidRDefault="004D5B27">
      <w:pPr>
        <w:pStyle w:val="ConsPlusNormal"/>
        <w:jc w:val="both"/>
      </w:pPr>
    </w:p>
    <w:p w:rsidR="004D5B27" w:rsidRDefault="004D5B27">
      <w:pPr>
        <w:pStyle w:val="ConsPlusTitle"/>
        <w:jc w:val="center"/>
        <w:outlineLvl w:val="1"/>
      </w:pPr>
      <w:r>
        <w:t>1. Введение</w:t>
      </w:r>
    </w:p>
    <w:p w:rsidR="004D5B27" w:rsidRDefault="004D5B27">
      <w:pPr>
        <w:pStyle w:val="ConsPlusNormal"/>
        <w:jc w:val="both"/>
      </w:pPr>
    </w:p>
    <w:p w:rsidR="004D5B27" w:rsidRDefault="004D5B27">
      <w:pPr>
        <w:pStyle w:val="ConsPlusNormal"/>
        <w:ind w:firstLine="540"/>
        <w:jc w:val="both"/>
      </w:pPr>
      <w:r>
        <w:t xml:space="preserve">1.1. 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rsidR="004D5B27" w:rsidRDefault="004D5B27">
      <w:pPr>
        <w:pStyle w:val="ConsPlusNormal"/>
        <w:jc w:val="both"/>
      </w:pPr>
    </w:p>
    <w:p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4D5B27" w:rsidRDefault="004D5B27">
      <w:pPr>
        <w:pStyle w:val="ConsPlusNormal"/>
        <w:spacing w:before="22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&lt;2&gt; В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rsidR="004D5B27" w:rsidRDefault="004D5B27">
      <w:pPr>
        <w:pStyle w:val="ConsPlusNormal"/>
        <w:spacing w:before="220"/>
        <w:ind w:firstLine="540"/>
        <w:jc w:val="both"/>
      </w:pPr>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4D5B27" w:rsidRDefault="004D5B27">
      <w:pPr>
        <w:pStyle w:val="ConsPlusNormal"/>
        <w:jc w:val="both"/>
      </w:pPr>
    </w:p>
    <w:p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rsidR="004D5B27" w:rsidRDefault="004D5B27">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4D5B27" w:rsidRDefault="004D5B27">
      <w:pPr>
        <w:pStyle w:val="ConsPlusNormal"/>
        <w:spacing w:before="220"/>
        <w:ind w:firstLine="540"/>
        <w:jc w:val="both"/>
      </w:pPr>
      <w:r>
        <w:t>- формированию индикаторов коррупции при осуществлении закупок.</w:t>
      </w:r>
    </w:p>
    <w:p w:rsidR="004D5B27" w:rsidRDefault="004D5B27">
      <w:pPr>
        <w:pStyle w:val="ConsPlusNormal"/>
        <w:spacing w:before="220"/>
        <w:ind w:firstLine="540"/>
        <w:jc w:val="both"/>
      </w:pPr>
      <w:r>
        <w:t>1.11. Применительно к настоящим Методическим рекомендациями используются следующие понятия:</w:t>
      </w:r>
    </w:p>
    <w:p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4D5B27" w:rsidRDefault="004D5B27">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4D5B27" w:rsidRDefault="004D5B27">
      <w:pPr>
        <w:pStyle w:val="ConsPlusNormal"/>
        <w:jc w:val="both"/>
      </w:pPr>
    </w:p>
    <w:p w:rsidR="004D5B27" w:rsidRDefault="004D5B27">
      <w:pPr>
        <w:pStyle w:val="ConsPlusTitle"/>
        <w:jc w:val="center"/>
        <w:outlineLvl w:val="1"/>
      </w:pPr>
      <w:r>
        <w:t>2. Задачи и принципы оценки коррупционных рисков</w:t>
      </w:r>
    </w:p>
    <w:p w:rsidR="004D5B27" w:rsidRDefault="004D5B27">
      <w:pPr>
        <w:pStyle w:val="ConsPlusTitle"/>
        <w:jc w:val="center"/>
      </w:pPr>
      <w:r>
        <w:t>при осуществлении закупок</w:t>
      </w:r>
    </w:p>
    <w:p w:rsidR="004D5B27" w:rsidRDefault="004D5B27">
      <w:pPr>
        <w:pStyle w:val="ConsPlusNormal"/>
        <w:jc w:val="both"/>
      </w:pPr>
    </w:p>
    <w:p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4D5B27" w:rsidRDefault="004D5B27">
      <w:pPr>
        <w:pStyle w:val="ConsPlusNormal"/>
        <w:spacing w:before="220"/>
        <w:ind w:firstLine="540"/>
        <w:jc w:val="both"/>
      </w:pPr>
      <w: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w:t>
      </w:r>
      <w:r>
        <w:lastRenderedPageBreak/>
        <w:t>нагрузку, влекущую нарушение нормального осуществления ими своих служебных (трудовых) обязанностей;</w:t>
      </w:r>
    </w:p>
    <w:p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4D5B27" w:rsidRDefault="004D5B27">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D5B27" w:rsidRDefault="004D5B27">
      <w:pPr>
        <w:pStyle w:val="ConsPlusNormal"/>
        <w:jc w:val="both"/>
      </w:pPr>
    </w:p>
    <w:p w:rsidR="004D5B27" w:rsidRDefault="004D5B27">
      <w:pPr>
        <w:pStyle w:val="ConsPlusTitle"/>
        <w:jc w:val="center"/>
        <w:outlineLvl w:val="1"/>
      </w:pPr>
      <w:r>
        <w:t>3. Рекомендуемый порядок оценки коррупционных рисков</w:t>
      </w:r>
    </w:p>
    <w:p w:rsidR="004D5B27" w:rsidRDefault="004D5B27">
      <w:pPr>
        <w:pStyle w:val="ConsPlusNormal"/>
        <w:jc w:val="both"/>
      </w:pPr>
    </w:p>
    <w:p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4D5B27" w:rsidRDefault="004D5B27">
      <w:pPr>
        <w:pStyle w:val="ConsPlusNormal"/>
        <w:spacing w:before="220"/>
        <w:ind w:firstLine="540"/>
        <w:jc w:val="both"/>
      </w:pPr>
      <w:r>
        <w:t>- используемые коррупционные схемы;</w:t>
      </w:r>
    </w:p>
    <w:p w:rsidR="004D5B27" w:rsidRDefault="004D5B27">
      <w:pPr>
        <w:pStyle w:val="ConsPlusNormal"/>
        <w:spacing w:before="220"/>
        <w:ind w:firstLine="540"/>
        <w:jc w:val="both"/>
      </w:pPr>
      <w:r>
        <w:t>- индикаторы коррупции.</w:t>
      </w:r>
    </w:p>
    <w:p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D5B27" w:rsidRDefault="004D5B27">
      <w:pPr>
        <w:pStyle w:val="ConsPlusNormal"/>
        <w:spacing w:before="220"/>
        <w:ind w:firstLine="540"/>
        <w:jc w:val="both"/>
      </w:pPr>
      <w:r>
        <w:t>- подготовительный этап;</w:t>
      </w:r>
    </w:p>
    <w:p w:rsidR="004D5B27" w:rsidRDefault="004D5B27">
      <w:pPr>
        <w:pStyle w:val="ConsPlusNormal"/>
        <w:spacing w:before="220"/>
        <w:ind w:firstLine="540"/>
        <w:jc w:val="both"/>
      </w:pPr>
      <w:r>
        <w:t>- описание процедуры осуществления закупки в органе (организации);</w:t>
      </w:r>
    </w:p>
    <w:p w:rsidR="004D5B27" w:rsidRDefault="004D5B27">
      <w:pPr>
        <w:pStyle w:val="ConsPlusNormal"/>
        <w:spacing w:before="220"/>
        <w:ind w:firstLine="540"/>
        <w:jc w:val="both"/>
      </w:pPr>
      <w:r>
        <w:t>- идентификация коррупционных рисков;</w:t>
      </w:r>
    </w:p>
    <w:p w:rsidR="004D5B27" w:rsidRDefault="004D5B27">
      <w:pPr>
        <w:pStyle w:val="ConsPlusNormal"/>
        <w:spacing w:before="220"/>
        <w:ind w:firstLine="540"/>
        <w:jc w:val="both"/>
      </w:pPr>
      <w:r>
        <w:t>- анализ коррупционных рисков;</w:t>
      </w:r>
    </w:p>
    <w:p w:rsidR="004D5B27" w:rsidRDefault="004D5B27">
      <w:pPr>
        <w:pStyle w:val="ConsPlusNormal"/>
        <w:spacing w:before="220"/>
        <w:ind w:firstLine="540"/>
        <w:jc w:val="both"/>
      </w:pPr>
      <w:r>
        <w:lastRenderedPageBreak/>
        <w:t>- ранжирование коррупционных рисков;</w:t>
      </w:r>
    </w:p>
    <w:p w:rsidR="004D5B27" w:rsidRDefault="004D5B27">
      <w:pPr>
        <w:pStyle w:val="ConsPlusNormal"/>
        <w:spacing w:before="220"/>
        <w:ind w:firstLine="540"/>
        <w:jc w:val="both"/>
      </w:pPr>
      <w:r>
        <w:t>- разработка мер по минимизации коррупционных рисков;</w:t>
      </w:r>
    </w:p>
    <w:p w:rsidR="004D5B27" w:rsidRDefault="004D5B27">
      <w:pPr>
        <w:pStyle w:val="ConsPlusNormal"/>
        <w:spacing w:before="220"/>
        <w:ind w:firstLine="540"/>
        <w:jc w:val="both"/>
      </w:pPr>
      <w:r>
        <w:t>- утверждение результатов оценки коррупционных рисков;</w:t>
      </w:r>
    </w:p>
    <w:p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rsidR="004D5B27" w:rsidRDefault="004D5B27">
      <w:pPr>
        <w:pStyle w:val="ConsPlusNormal"/>
        <w:jc w:val="both"/>
      </w:pPr>
    </w:p>
    <w:p w:rsidR="004D5B27" w:rsidRDefault="004D5B27">
      <w:pPr>
        <w:pStyle w:val="ConsPlusTitle"/>
        <w:ind w:firstLine="540"/>
        <w:jc w:val="both"/>
        <w:outlineLvl w:val="2"/>
      </w:pPr>
      <w:r>
        <w:t>Подготовительный этап</w:t>
      </w:r>
    </w:p>
    <w:p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4D5B27" w:rsidRDefault="004D5B27">
      <w:pPr>
        <w:pStyle w:val="ConsPlusNormal"/>
        <w:spacing w:before="220"/>
        <w:ind w:firstLine="540"/>
        <w:jc w:val="both"/>
      </w:pPr>
      <w:r>
        <w:t>- сроки проведения;</w:t>
      </w:r>
    </w:p>
    <w:p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4D5B27" w:rsidRDefault="004D5B27">
      <w:pPr>
        <w:pStyle w:val="ConsPlusNormal"/>
        <w:spacing w:before="220"/>
        <w:ind w:firstLine="540"/>
        <w:jc w:val="both"/>
      </w:pPr>
      <w:r>
        <w:t>- формы контроля за проведением оценки;</w:t>
      </w:r>
    </w:p>
    <w:p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4D5B27" w:rsidRDefault="004D5B27">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4D5B27" w:rsidRDefault="004D5B27">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4D5B27" w:rsidRDefault="004D5B27">
      <w:pPr>
        <w:pStyle w:val="ConsPlusNormal"/>
        <w:spacing w:before="220"/>
        <w:ind w:firstLine="540"/>
        <w:jc w:val="both"/>
      </w:pPr>
      <w:r>
        <w:t>3.6.1. К внутренним источникам информации можно отнести следующее:</w:t>
      </w:r>
    </w:p>
    <w:p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4D5B27" w:rsidRDefault="004D5B27">
      <w:pPr>
        <w:pStyle w:val="ConsPlusNormal"/>
        <w:spacing w:before="220"/>
        <w:ind w:firstLine="540"/>
        <w:jc w:val="both"/>
      </w:pPr>
      <w:r>
        <w:lastRenderedPageBreak/>
        <w:t>- должностные регламенты (инструкции), служебные (трудовые) обязанности служащих (работников), участвующих в осуществлении закупки;</w:t>
      </w:r>
    </w:p>
    <w:p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D5B27" w:rsidRDefault="004D5B27">
      <w:pPr>
        <w:pStyle w:val="ConsPlusNormal"/>
        <w:spacing w:before="220"/>
        <w:ind w:firstLine="540"/>
        <w:jc w:val="both"/>
      </w:pPr>
      <w:r>
        <w:t>- сведения бухгалтерского баланса;</w:t>
      </w:r>
    </w:p>
    <w:p w:rsidR="004D5B27" w:rsidRDefault="004D5B27">
      <w:pPr>
        <w:pStyle w:val="ConsPlusNormal"/>
        <w:spacing w:before="220"/>
        <w:ind w:firstLine="540"/>
        <w:jc w:val="both"/>
      </w:pPr>
      <w:r>
        <w:t>- план закупок;</w:t>
      </w:r>
    </w:p>
    <w:p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4D5B27" w:rsidRDefault="004D5B27">
      <w:pPr>
        <w:pStyle w:val="ConsPlusNormal"/>
        <w:spacing w:before="220"/>
        <w:ind w:firstLine="540"/>
        <w:jc w:val="both"/>
      </w:pPr>
      <w:r>
        <w:t>3.6.2. К внешним источникам информации можно отнести следующее:</w:t>
      </w:r>
    </w:p>
    <w:p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обзоры типовых нарушений, совершаемых при осуществлении закупок;</w:t>
      </w:r>
    </w:p>
    <w:p w:rsidR="004D5B27" w:rsidRDefault="004D5B27">
      <w:pPr>
        <w:pStyle w:val="ConsPlusNormal"/>
        <w:spacing w:before="220"/>
        <w:ind w:firstLine="540"/>
        <w:jc w:val="both"/>
      </w:pPr>
      <w:r>
        <w:t>- иные применимые материалы.</w:t>
      </w:r>
    </w:p>
    <w:p w:rsidR="004D5B27" w:rsidRDefault="004D5B27">
      <w:pPr>
        <w:pStyle w:val="ConsPlusNormal"/>
        <w:jc w:val="both"/>
      </w:pPr>
    </w:p>
    <w:p w:rsidR="004D5B27" w:rsidRDefault="004D5B27">
      <w:pPr>
        <w:pStyle w:val="ConsPlusTitle"/>
        <w:ind w:firstLine="540"/>
        <w:jc w:val="both"/>
        <w:outlineLvl w:val="2"/>
      </w:pPr>
      <w:r>
        <w:lastRenderedPageBreak/>
        <w:t>Описание процедуры осуществления закупки в органе (организации)</w:t>
      </w:r>
    </w:p>
    <w:p w:rsidR="004D5B27" w:rsidRDefault="004D5B27">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4D5B27" w:rsidRDefault="004D5B27">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4D5B27" w:rsidRDefault="004D5B27">
      <w:pPr>
        <w:pStyle w:val="ConsPlusNormal"/>
        <w:jc w:val="both"/>
      </w:pPr>
    </w:p>
    <w:p w:rsidR="004D5B27" w:rsidRDefault="004D5B27">
      <w:pPr>
        <w:pStyle w:val="ConsPlusTitle"/>
        <w:ind w:firstLine="540"/>
        <w:jc w:val="both"/>
        <w:outlineLvl w:val="2"/>
      </w:pPr>
      <w:r>
        <w:t>Идентификация коррупционных рисков</w:t>
      </w:r>
    </w:p>
    <w:p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4D5B27" w:rsidRDefault="004D5B27">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4D5B27" w:rsidRDefault="004D5B27">
      <w:pPr>
        <w:pStyle w:val="ConsPlusNormal"/>
        <w:spacing w:before="220"/>
        <w:ind w:firstLine="540"/>
        <w:jc w:val="both"/>
      </w:pPr>
      <w:r>
        <w:t>- анкетирование;</w:t>
      </w:r>
    </w:p>
    <w:p w:rsidR="004D5B27" w:rsidRDefault="004D5B27">
      <w:pPr>
        <w:pStyle w:val="ConsPlusNormal"/>
        <w:spacing w:before="220"/>
        <w:ind w:firstLine="540"/>
        <w:jc w:val="both"/>
      </w:pPr>
      <w:r>
        <w:t>- экспертное обсуждение;</w:t>
      </w:r>
    </w:p>
    <w:p w:rsidR="004D5B27" w:rsidRDefault="004D5B27">
      <w:pPr>
        <w:pStyle w:val="ConsPlusNormal"/>
        <w:spacing w:before="220"/>
        <w:ind w:firstLine="540"/>
        <w:jc w:val="both"/>
      </w:pPr>
      <w:r>
        <w:t>- иные методы.</w:t>
      </w:r>
    </w:p>
    <w:p w:rsidR="004D5B27" w:rsidRDefault="004D5B27">
      <w:pPr>
        <w:pStyle w:val="ConsPlusNormal"/>
        <w:spacing w:before="220"/>
        <w:ind w:firstLine="540"/>
        <w:jc w:val="both"/>
      </w:pPr>
      <w:r>
        <w:lastRenderedPageBreak/>
        <w:t>Выбор конкретного метода рекомендуется обосновывать фактическими обстоятельствами, сложившимися в органе (организации).</w:t>
      </w:r>
    </w:p>
    <w:p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4D5B27" w:rsidRDefault="004D5B27">
      <w:pPr>
        <w:pStyle w:val="ConsPlusNormal"/>
        <w:spacing w:before="220"/>
        <w:ind w:firstLine="540"/>
        <w:jc w:val="both"/>
      </w:pPr>
      <w:r>
        <w:t>- кто может быть заинтересован в коррупционном правонарушении?</w:t>
      </w:r>
    </w:p>
    <w:p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4D5B27" w:rsidRDefault="004D5B27">
      <w:pPr>
        <w:pStyle w:val="ConsPlusNormal"/>
        <w:jc w:val="both"/>
      </w:pPr>
    </w:p>
    <w:p w:rsidR="004D5B27" w:rsidRDefault="004D5B27">
      <w:pPr>
        <w:pStyle w:val="ConsPlusTitle"/>
        <w:ind w:firstLine="540"/>
        <w:jc w:val="both"/>
        <w:outlineLvl w:val="2"/>
      </w:pPr>
      <w:r>
        <w:t>Анализ коррупционных рисков</w:t>
      </w:r>
    </w:p>
    <w:p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4D5B27" w:rsidRDefault="004D5B27">
      <w:pPr>
        <w:pStyle w:val="ConsPlusNormal"/>
        <w:spacing w:before="220"/>
        <w:ind w:firstLine="540"/>
        <w:jc w:val="both"/>
      </w:pPr>
      <w:r>
        <w:t>- каким образом потенциально возможно извлечь неправомерную выгоду?</w:t>
      </w:r>
    </w:p>
    <w:p w:rsidR="004D5B27" w:rsidRDefault="004D5B27">
      <w:pPr>
        <w:pStyle w:val="ConsPlusNormal"/>
        <w:spacing w:before="220"/>
        <w:ind w:firstLine="540"/>
        <w:jc w:val="both"/>
      </w:pPr>
      <w:r>
        <w:t>- кто рискует быть вовлечен в коррупционную схему?</w:t>
      </w:r>
    </w:p>
    <w:p w:rsidR="004D5B27" w:rsidRDefault="004D5B27">
      <w:pPr>
        <w:pStyle w:val="ConsPlusNormal"/>
        <w:spacing w:before="220"/>
        <w:ind w:firstLine="540"/>
        <w:jc w:val="both"/>
      </w:pPr>
      <w:r>
        <w:t>- каким образом возможно обойти механизмы внутреннего (внешнего) контроля?</w:t>
      </w:r>
    </w:p>
    <w:p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rsidR="004D5B27" w:rsidRDefault="004D5B27">
      <w:pPr>
        <w:pStyle w:val="ConsPlusNormal"/>
        <w:spacing w:before="220"/>
        <w:ind w:firstLine="540"/>
        <w:jc w:val="both"/>
      </w:pPr>
      <w:r>
        <w:t>- какая выгода может быть неправомерно получена;</w:t>
      </w:r>
    </w:p>
    <w:p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rsidR="004D5B27" w:rsidRDefault="004D5B27">
      <w:pPr>
        <w:pStyle w:val="ConsPlusNormal"/>
        <w:spacing w:before="220"/>
        <w:ind w:firstLine="540"/>
        <w:jc w:val="both"/>
      </w:pPr>
      <w:r>
        <w:t>- краткое и развернутое описание коррупционной схемы;</w:t>
      </w:r>
    </w:p>
    <w:p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rsidR="004D5B27" w:rsidRDefault="004D5B27">
      <w:pPr>
        <w:pStyle w:val="ConsPlusNormal"/>
        <w:spacing w:before="220"/>
        <w:ind w:firstLine="540"/>
        <w:jc w:val="both"/>
      </w:pPr>
      <w:r>
        <w:t>- иные применимые аспекты.</w:t>
      </w:r>
    </w:p>
    <w:p w:rsidR="004D5B27" w:rsidRDefault="004D5B27">
      <w:pPr>
        <w:pStyle w:val="ConsPlusNormal"/>
        <w:spacing w:before="220"/>
        <w:ind w:firstLine="540"/>
        <w:jc w:val="both"/>
      </w:pPr>
      <w:r>
        <w:lastRenderedPageBreak/>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4D5B27" w:rsidRDefault="004D5B27">
      <w:pPr>
        <w:pStyle w:val="ConsPlusNormal"/>
        <w:spacing w:before="22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D5B27" w:rsidRDefault="004D5B27">
      <w:pPr>
        <w:pStyle w:val="ConsPlusNormal"/>
        <w:spacing w:before="220"/>
        <w:ind w:firstLine="540"/>
        <w:jc w:val="both"/>
      </w:pPr>
      <w:r>
        <w:t>- процедурный этап (определение поставщика (подрядчика, исполнителя));</w:t>
      </w:r>
    </w:p>
    <w:p w:rsidR="004D5B27" w:rsidRDefault="004D5B27">
      <w:pPr>
        <w:pStyle w:val="ConsPlusNormal"/>
        <w:spacing w:before="220"/>
        <w:ind w:firstLine="540"/>
        <w:jc w:val="both"/>
      </w:pPr>
      <w:r>
        <w:t>- пост-процедурный этап (исполнение, изменение, расторжение контракта).</w:t>
      </w:r>
    </w:p>
    <w:p w:rsidR="004D5B27" w:rsidRDefault="004D5B27">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4D5B27" w:rsidRDefault="004D5B27">
      <w:pPr>
        <w:pStyle w:val="ConsPlusNormal"/>
        <w:spacing w:before="22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4D5B27" w:rsidRDefault="004D5B27">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rsidR="004D5B27" w:rsidRDefault="004D5B27">
      <w:pPr>
        <w:pStyle w:val="ConsPlusNormal"/>
        <w:spacing w:before="220"/>
        <w:ind w:firstLine="540"/>
        <w:jc w:val="both"/>
      </w:pPr>
      <w:r>
        <w:t>- сокрытия коррупционных правонарушений;</w:t>
      </w:r>
    </w:p>
    <w:p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rsidR="004D5B27" w:rsidRDefault="004D5B27">
      <w:pPr>
        <w:pStyle w:val="ConsPlusNormal"/>
        <w:spacing w:before="220"/>
        <w:ind w:firstLine="540"/>
        <w:jc w:val="both"/>
      </w:pPr>
      <w:r>
        <w:t>- необоснованного объединения (дробления) лотов;</w:t>
      </w:r>
    </w:p>
    <w:p w:rsidR="004D5B27" w:rsidRDefault="004D5B27">
      <w:pPr>
        <w:pStyle w:val="ConsPlusNormal"/>
        <w:spacing w:before="220"/>
        <w:ind w:firstLine="540"/>
        <w:jc w:val="both"/>
      </w:pPr>
      <w:r>
        <w:t>- ограничения потенциального количества участников закупок и т.д.</w:t>
      </w:r>
    </w:p>
    <w:p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4D5B27" w:rsidRDefault="004D5B27">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D5B27" w:rsidRDefault="004D5B27">
      <w:pPr>
        <w:pStyle w:val="ConsPlusNormal"/>
        <w:spacing w:before="220"/>
        <w:ind w:firstLine="540"/>
        <w:jc w:val="both"/>
      </w:pPr>
      <w:r>
        <w:lastRenderedPageBreak/>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D5B27" w:rsidRDefault="004D5B27">
      <w:pPr>
        <w:pStyle w:val="ConsPlusNormal"/>
        <w:spacing w:before="220"/>
        <w:ind w:firstLine="540"/>
        <w:jc w:val="both"/>
      </w:pPr>
      <w:r>
        <w:t>3.26. Возможные индикаторы коррупции &lt;5&gt;: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 незначительное количество участников закупки;</w:t>
      </w:r>
    </w:p>
    <w:p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4D5B27" w:rsidRDefault="004D5B27">
      <w:pPr>
        <w:pStyle w:val="ConsPlusNormal"/>
        <w:spacing w:before="220"/>
        <w:ind w:firstLine="540"/>
        <w:jc w:val="both"/>
      </w:pPr>
      <w:r>
        <w:t>- "регулярные" участники закупки не принимают участие в конкретной закупке;</w:t>
      </w:r>
    </w:p>
    <w:p w:rsidR="004D5B27" w:rsidRDefault="004D5B27">
      <w:pPr>
        <w:pStyle w:val="ConsPlusNormal"/>
        <w:spacing w:before="220"/>
        <w:ind w:firstLine="540"/>
        <w:jc w:val="both"/>
      </w:pPr>
      <w:r>
        <w:t>- участники закупки "неожиданно" отзывают свои заявки;</w:t>
      </w:r>
    </w:p>
    <w:p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rsidR="004D5B27" w:rsidRDefault="004D5B27">
      <w:pPr>
        <w:pStyle w:val="ConsPlusNormal"/>
        <w:spacing w:before="220"/>
        <w:ind w:firstLine="540"/>
        <w:jc w:val="both"/>
      </w:pPr>
      <w:r>
        <w:t>- создание по адресу "массовой" регистрации;</w:t>
      </w:r>
    </w:p>
    <w:p w:rsidR="004D5B27" w:rsidRDefault="004D5B27">
      <w:pPr>
        <w:pStyle w:val="ConsPlusNormal"/>
        <w:spacing w:before="220"/>
        <w:ind w:firstLine="540"/>
        <w:jc w:val="both"/>
      </w:pPr>
      <w:r>
        <w:t>- незначительный (минимальный) размер уставного капитала;</w:t>
      </w:r>
    </w:p>
    <w:p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4D5B27" w:rsidRDefault="004D5B27">
      <w:pPr>
        <w:pStyle w:val="ConsPlusNormal"/>
        <w:spacing w:before="220"/>
        <w:ind w:firstLine="540"/>
        <w:jc w:val="both"/>
      </w:pPr>
      <w:r>
        <w:lastRenderedPageBreak/>
        <w:t>- отсутствие непосредственных контактов с контрагентами;</w:t>
      </w:r>
    </w:p>
    <w:p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D5B27" w:rsidRDefault="004D5B27">
      <w:pPr>
        <w:pStyle w:val="ConsPlusNormal"/>
        <w:jc w:val="both"/>
      </w:pPr>
    </w:p>
    <w:p w:rsidR="004D5B27" w:rsidRDefault="004D5B27">
      <w:pPr>
        <w:pStyle w:val="ConsPlusTitle"/>
        <w:ind w:firstLine="540"/>
        <w:jc w:val="both"/>
        <w:outlineLvl w:val="2"/>
      </w:pPr>
      <w:r>
        <w:t>Ранжирование коррупционных рисков</w:t>
      </w:r>
    </w:p>
    <w:p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4D5B27" w:rsidRDefault="004D5B27">
      <w:pPr>
        <w:pStyle w:val="ConsPlusNormal"/>
        <w:jc w:val="both"/>
      </w:pPr>
    </w:p>
    <w:p w:rsidR="004D5B27" w:rsidRDefault="004D5B27">
      <w:pPr>
        <w:pStyle w:val="ConsPlusNormal"/>
        <w:jc w:val="right"/>
        <w:outlineLvl w:val="3"/>
      </w:pPr>
      <w:r>
        <w:t>Таблица 1.</w:t>
      </w:r>
    </w:p>
    <w:p w:rsidR="004D5B27" w:rsidRDefault="004D5B27">
      <w:pPr>
        <w:pStyle w:val="ConsPlusNormal"/>
        <w:jc w:val="both"/>
      </w:pPr>
    </w:p>
    <w:p w:rsidR="004D5B27" w:rsidRDefault="004D5B27">
      <w:pPr>
        <w:pStyle w:val="ConsPlusTitle"/>
        <w:jc w:val="center"/>
      </w:pPr>
      <w:bookmarkStart w:id="2" w:name="P217"/>
      <w:bookmarkEnd w:id="2"/>
      <w:r>
        <w:t>Градация степени выраженности критерия</w:t>
      </w:r>
    </w:p>
    <w:p w:rsidR="004D5B27" w:rsidRDefault="004D5B27">
      <w:pPr>
        <w:pStyle w:val="ConsPlusTitle"/>
        <w:jc w:val="center"/>
      </w:pPr>
      <w:r>
        <w:t>"вероятность реализации"</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5376"/>
      </w:tblGrid>
      <w:tr w:rsidR="004D5B27">
        <w:tc>
          <w:tcPr>
            <w:tcW w:w="1984" w:type="dxa"/>
          </w:tcPr>
          <w:p w:rsidR="004D5B27" w:rsidRDefault="004D5B27">
            <w:pPr>
              <w:pStyle w:val="ConsPlusNormal"/>
              <w:jc w:val="center"/>
            </w:pPr>
            <w:r>
              <w:t>Степень выраженности</w:t>
            </w:r>
          </w:p>
        </w:tc>
        <w:tc>
          <w:tcPr>
            <w:tcW w:w="1701" w:type="dxa"/>
          </w:tcPr>
          <w:p w:rsidR="004D5B27" w:rsidRDefault="004D5B27">
            <w:pPr>
              <w:pStyle w:val="ConsPlusNormal"/>
              <w:jc w:val="center"/>
            </w:pPr>
            <w:r>
              <w:t>Процентный показатель</w:t>
            </w:r>
          </w:p>
        </w:tc>
        <w:tc>
          <w:tcPr>
            <w:tcW w:w="5376" w:type="dxa"/>
          </w:tcPr>
          <w:p w:rsidR="004D5B27" w:rsidRDefault="004D5B27">
            <w:pPr>
              <w:pStyle w:val="ConsPlusNormal"/>
              <w:jc w:val="center"/>
            </w:pPr>
            <w:r>
              <w:t>Описание</w:t>
            </w:r>
          </w:p>
        </w:tc>
      </w:tr>
      <w:tr w:rsidR="004D5B27">
        <w:tc>
          <w:tcPr>
            <w:tcW w:w="1984" w:type="dxa"/>
          </w:tcPr>
          <w:p w:rsidR="004D5B27" w:rsidRDefault="004D5B27">
            <w:pPr>
              <w:pStyle w:val="ConsPlusNormal"/>
            </w:pPr>
            <w:r>
              <w:t>Очень часто</w:t>
            </w:r>
          </w:p>
        </w:tc>
        <w:tc>
          <w:tcPr>
            <w:tcW w:w="1701" w:type="dxa"/>
          </w:tcPr>
          <w:p w:rsidR="004D5B27" w:rsidRDefault="004D5B27">
            <w:pPr>
              <w:pStyle w:val="ConsPlusNormal"/>
            </w:pPr>
            <w:r>
              <w:t>Более 75%</w:t>
            </w:r>
          </w:p>
        </w:tc>
        <w:tc>
          <w:tcPr>
            <w:tcW w:w="5376" w:type="dxa"/>
            <w:vAlign w:val="bottom"/>
          </w:tcPr>
          <w:p w:rsidR="004D5B27" w:rsidRDefault="004D5B27">
            <w:pPr>
              <w:pStyle w:val="ConsPlusNormal"/>
              <w:jc w:val="both"/>
            </w:pPr>
            <w:r>
              <w:t xml:space="preserve">Сомнения в том, что событие произойдет, практически </w:t>
            </w:r>
            <w:r>
              <w:lastRenderedPageBreak/>
              <w:t>отсутствуют. В определенных обстоятельствах событие происходит очень часто, что подтверждается аналитическими данными</w:t>
            </w:r>
          </w:p>
        </w:tc>
      </w:tr>
      <w:tr w:rsidR="004D5B27">
        <w:tc>
          <w:tcPr>
            <w:tcW w:w="1984" w:type="dxa"/>
          </w:tcPr>
          <w:p w:rsidR="004D5B27" w:rsidRDefault="004D5B27">
            <w:pPr>
              <w:pStyle w:val="ConsPlusNormal"/>
            </w:pPr>
            <w:r>
              <w:lastRenderedPageBreak/>
              <w:t>Высокая частота</w:t>
            </w:r>
          </w:p>
        </w:tc>
        <w:tc>
          <w:tcPr>
            <w:tcW w:w="1701" w:type="dxa"/>
          </w:tcPr>
          <w:p w:rsidR="004D5B27" w:rsidRDefault="004D5B27">
            <w:pPr>
              <w:pStyle w:val="ConsPlusNormal"/>
            </w:pPr>
            <w:r>
              <w:t>50% - 75%</w:t>
            </w:r>
          </w:p>
        </w:tc>
        <w:tc>
          <w:tcPr>
            <w:tcW w:w="5376" w:type="dxa"/>
            <w:vAlign w:val="bottom"/>
          </w:tcPr>
          <w:p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tc>
          <w:tcPr>
            <w:tcW w:w="1984" w:type="dxa"/>
          </w:tcPr>
          <w:p w:rsidR="004D5B27" w:rsidRDefault="004D5B27">
            <w:pPr>
              <w:pStyle w:val="ConsPlusNormal"/>
            </w:pPr>
            <w:r>
              <w:t>Средняя частота</w:t>
            </w:r>
          </w:p>
        </w:tc>
        <w:tc>
          <w:tcPr>
            <w:tcW w:w="1701" w:type="dxa"/>
          </w:tcPr>
          <w:p w:rsidR="004D5B27" w:rsidRDefault="004D5B27">
            <w:pPr>
              <w:pStyle w:val="ConsPlusNormal"/>
            </w:pPr>
            <w:r>
              <w:t>25% - 50%</w:t>
            </w:r>
          </w:p>
        </w:tc>
        <w:tc>
          <w:tcPr>
            <w:tcW w:w="5376" w:type="dxa"/>
            <w:vAlign w:val="bottom"/>
          </w:tcPr>
          <w:p w:rsidR="004D5B27" w:rsidRDefault="004D5B27">
            <w:pPr>
              <w:pStyle w:val="ConsPlusNormal"/>
              <w:jc w:val="both"/>
            </w:pPr>
            <w:r>
              <w:t>Событие происходит редко, но является наблюдаемым</w:t>
            </w:r>
          </w:p>
        </w:tc>
      </w:tr>
      <w:tr w:rsidR="004D5B27">
        <w:tc>
          <w:tcPr>
            <w:tcW w:w="1984" w:type="dxa"/>
          </w:tcPr>
          <w:p w:rsidR="004D5B27" w:rsidRDefault="004D5B27">
            <w:pPr>
              <w:pStyle w:val="ConsPlusNormal"/>
            </w:pPr>
            <w:r>
              <w:t>Низкая частота</w:t>
            </w:r>
          </w:p>
        </w:tc>
        <w:tc>
          <w:tcPr>
            <w:tcW w:w="1701" w:type="dxa"/>
          </w:tcPr>
          <w:p w:rsidR="004D5B27" w:rsidRDefault="004D5B27">
            <w:pPr>
              <w:pStyle w:val="ConsPlusNormal"/>
            </w:pPr>
            <w:r>
              <w:t>5% - 25%</w:t>
            </w:r>
          </w:p>
        </w:tc>
        <w:tc>
          <w:tcPr>
            <w:tcW w:w="5376" w:type="dxa"/>
            <w:vAlign w:val="bottom"/>
          </w:tcPr>
          <w:p w:rsidR="004D5B27" w:rsidRDefault="004D5B27">
            <w:pPr>
              <w:pStyle w:val="ConsPlusNormal"/>
              <w:jc w:val="both"/>
            </w:pPr>
            <w:r>
              <w:t>Наступление события не ожидается, хотя в целом оно возможно</w:t>
            </w:r>
          </w:p>
        </w:tc>
      </w:tr>
      <w:tr w:rsidR="004D5B27">
        <w:tc>
          <w:tcPr>
            <w:tcW w:w="1984" w:type="dxa"/>
          </w:tcPr>
          <w:p w:rsidR="004D5B27" w:rsidRDefault="004D5B27">
            <w:pPr>
              <w:pStyle w:val="ConsPlusNormal"/>
            </w:pPr>
            <w:r>
              <w:t>Очень редко</w:t>
            </w:r>
          </w:p>
        </w:tc>
        <w:tc>
          <w:tcPr>
            <w:tcW w:w="1701" w:type="dxa"/>
          </w:tcPr>
          <w:p w:rsidR="004D5B27" w:rsidRDefault="004D5B27">
            <w:pPr>
              <w:pStyle w:val="ConsPlusNormal"/>
            </w:pPr>
            <w:r>
              <w:t>Менее 5%</w:t>
            </w:r>
          </w:p>
        </w:tc>
        <w:tc>
          <w:tcPr>
            <w:tcW w:w="5376" w:type="dxa"/>
          </w:tcPr>
          <w:p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4D5B27" w:rsidRDefault="004D5B27">
      <w:pPr>
        <w:pStyle w:val="ConsPlusNormal"/>
        <w:jc w:val="both"/>
      </w:pPr>
    </w:p>
    <w:p w:rsidR="004D5B27" w:rsidRDefault="004D5B27">
      <w:pPr>
        <w:pStyle w:val="ConsPlusNormal"/>
        <w:jc w:val="right"/>
        <w:outlineLvl w:val="3"/>
      </w:pPr>
      <w:r>
        <w:t>Таблица 2.</w:t>
      </w:r>
    </w:p>
    <w:p w:rsidR="004D5B27" w:rsidRDefault="004D5B27">
      <w:pPr>
        <w:pStyle w:val="ConsPlusNormal"/>
        <w:jc w:val="both"/>
      </w:pPr>
    </w:p>
    <w:p w:rsidR="004D5B27" w:rsidRDefault="004D5B27">
      <w:pPr>
        <w:pStyle w:val="ConsPlusTitle"/>
        <w:jc w:val="center"/>
      </w:pPr>
      <w:bookmarkStart w:id="3" w:name="P241"/>
      <w:bookmarkEnd w:id="3"/>
      <w:r>
        <w:t>Градация степени выраженности критерия</w:t>
      </w:r>
    </w:p>
    <w:p w:rsidR="004D5B27" w:rsidRDefault="004D5B27">
      <w:pPr>
        <w:pStyle w:val="ConsPlusTitle"/>
        <w:jc w:val="center"/>
      </w:pPr>
      <w:r>
        <w:t>"потенциальный вред"</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4D5B27">
        <w:tc>
          <w:tcPr>
            <w:tcW w:w="1984" w:type="dxa"/>
            <w:vAlign w:val="bottom"/>
          </w:tcPr>
          <w:p w:rsidR="004D5B27" w:rsidRDefault="004D5B27">
            <w:pPr>
              <w:pStyle w:val="ConsPlusNormal"/>
              <w:jc w:val="center"/>
            </w:pPr>
            <w:r>
              <w:t>Степень выраженности</w:t>
            </w:r>
          </w:p>
        </w:tc>
        <w:tc>
          <w:tcPr>
            <w:tcW w:w="7087" w:type="dxa"/>
          </w:tcPr>
          <w:p w:rsidR="004D5B27" w:rsidRDefault="004D5B27">
            <w:pPr>
              <w:pStyle w:val="ConsPlusNormal"/>
              <w:jc w:val="center"/>
            </w:pPr>
            <w:r>
              <w:t xml:space="preserve">Описание </w:t>
            </w:r>
            <w:hyperlink w:anchor="P258" w:history="1">
              <w:r>
                <w:rPr>
                  <w:color w:val="0000FF"/>
                </w:rPr>
                <w:t>&lt;7&gt;</w:t>
              </w:r>
            </w:hyperlink>
          </w:p>
        </w:tc>
      </w:tr>
      <w:tr w:rsidR="004D5B27">
        <w:tc>
          <w:tcPr>
            <w:tcW w:w="1984" w:type="dxa"/>
          </w:tcPr>
          <w:p w:rsidR="004D5B27" w:rsidRDefault="004D5B27">
            <w:pPr>
              <w:pStyle w:val="ConsPlusNormal"/>
            </w:pPr>
            <w:r>
              <w:t>Очень тяжелый</w:t>
            </w:r>
          </w:p>
        </w:tc>
        <w:tc>
          <w:tcPr>
            <w:tcW w:w="7087" w:type="dxa"/>
            <w:vAlign w:val="bottom"/>
          </w:tcPr>
          <w:p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tc>
          <w:tcPr>
            <w:tcW w:w="1984" w:type="dxa"/>
          </w:tcPr>
          <w:p w:rsidR="004D5B27" w:rsidRDefault="004D5B27">
            <w:pPr>
              <w:pStyle w:val="ConsPlusNormal"/>
            </w:pPr>
            <w:r>
              <w:t>Значительный</w:t>
            </w:r>
          </w:p>
        </w:tc>
        <w:tc>
          <w:tcPr>
            <w:tcW w:w="7087" w:type="dxa"/>
            <w:vAlign w:val="bottom"/>
          </w:tcPr>
          <w:p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tc>
          <w:tcPr>
            <w:tcW w:w="1984" w:type="dxa"/>
          </w:tcPr>
          <w:p w:rsidR="004D5B27" w:rsidRDefault="004D5B27">
            <w:pPr>
              <w:pStyle w:val="ConsPlusNormal"/>
            </w:pPr>
            <w:r>
              <w:t>Средней тяжести</w:t>
            </w:r>
          </w:p>
        </w:tc>
        <w:tc>
          <w:tcPr>
            <w:tcW w:w="7087" w:type="dxa"/>
            <w:vAlign w:val="bottom"/>
          </w:tcPr>
          <w:p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tc>
          <w:tcPr>
            <w:tcW w:w="1984" w:type="dxa"/>
          </w:tcPr>
          <w:p w:rsidR="004D5B27" w:rsidRDefault="004D5B27">
            <w:pPr>
              <w:pStyle w:val="ConsPlusNormal"/>
            </w:pPr>
            <w:r>
              <w:t>Легкий</w:t>
            </w:r>
          </w:p>
        </w:tc>
        <w:tc>
          <w:tcPr>
            <w:tcW w:w="7087" w:type="dxa"/>
            <w:vAlign w:val="bottom"/>
          </w:tcPr>
          <w:p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tc>
          <w:tcPr>
            <w:tcW w:w="1984" w:type="dxa"/>
          </w:tcPr>
          <w:p w:rsidR="004D5B27" w:rsidRDefault="004D5B27">
            <w:pPr>
              <w:pStyle w:val="ConsPlusNormal"/>
            </w:pPr>
            <w:r>
              <w:t>Очень легкий</w:t>
            </w:r>
          </w:p>
        </w:tc>
        <w:tc>
          <w:tcPr>
            <w:tcW w:w="7087" w:type="dxa"/>
            <w:vAlign w:val="bottom"/>
          </w:tcPr>
          <w:p w:rsidR="004D5B27" w:rsidRDefault="004D5B27">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4D5B27" w:rsidRDefault="004D5B27">
      <w:pPr>
        <w:pStyle w:val="ConsPlusNormal"/>
        <w:jc w:val="both"/>
      </w:pPr>
    </w:p>
    <w:p w:rsidR="004D5B27" w:rsidRDefault="004D5B27">
      <w:pPr>
        <w:pStyle w:val="ConsPlusNormal"/>
        <w:ind w:firstLine="540"/>
        <w:jc w:val="both"/>
      </w:pPr>
      <w:r>
        <w:t>--------------------------------</w:t>
      </w:r>
    </w:p>
    <w:p w:rsidR="004D5B27" w:rsidRDefault="004D5B27">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4D5B27" w:rsidRDefault="004D5B27">
      <w:pPr>
        <w:pStyle w:val="ConsPlusNormal"/>
        <w:spacing w:before="220"/>
        <w:ind w:firstLine="540"/>
        <w:jc w:val="both"/>
      </w:pPr>
      <w:r>
        <w:t>Пример простой матрицы коррупционных рисков представлен в таблице 3.</w:t>
      </w:r>
    </w:p>
    <w:p w:rsidR="004D5B27" w:rsidRDefault="004D5B27">
      <w:pPr>
        <w:pStyle w:val="ConsPlusNormal"/>
        <w:jc w:val="both"/>
      </w:pPr>
    </w:p>
    <w:p w:rsidR="004D5B27" w:rsidRDefault="004D5B27">
      <w:pPr>
        <w:pStyle w:val="ConsPlusNormal"/>
        <w:jc w:val="right"/>
        <w:outlineLvl w:val="3"/>
      </w:pPr>
      <w:r>
        <w:t>Таблица 3.</w:t>
      </w:r>
    </w:p>
    <w:p w:rsidR="004D5B27" w:rsidRDefault="004D5B27">
      <w:pPr>
        <w:pStyle w:val="ConsPlusNormal"/>
        <w:jc w:val="both"/>
      </w:pPr>
    </w:p>
    <w:p w:rsidR="004D5B27" w:rsidRDefault="004D5B27">
      <w:pPr>
        <w:pStyle w:val="ConsPlusTitle"/>
        <w:jc w:val="center"/>
      </w:pPr>
      <w:r>
        <w:t>Матрица коррупционных рисков</w:t>
      </w:r>
    </w:p>
    <w:p w:rsidR="004D5B27" w:rsidRDefault="004D5B27">
      <w:pPr>
        <w:pStyle w:val="ConsPlusNormal"/>
        <w:jc w:val="both"/>
      </w:pPr>
    </w:p>
    <w:p w:rsidR="004D5B27" w:rsidRDefault="00C41FE7">
      <w:pPr>
        <w:pStyle w:val="ConsPlusNormal"/>
        <w:jc w:val="center"/>
      </w:pPr>
      <w:r w:rsidRPr="000D28BC">
        <w:rPr>
          <w:position w:val="-163"/>
        </w:rPr>
        <w:pict>
          <v:shape id="_x0000_i1025" style="width:436.5pt;height:174.75pt" coordsize="" o:spt="100" adj="0,,0" path="" filled="f" stroked="f">
            <v:stroke joinstyle="miter"/>
            <v:imagedata r:id="rId19" o:title="base_1_363998_32768"/>
            <v:formulas/>
            <v:path o:connecttype="segments"/>
          </v:shape>
        </w:pict>
      </w:r>
    </w:p>
    <w:p w:rsidR="004D5B27" w:rsidRDefault="004D5B27">
      <w:pPr>
        <w:pStyle w:val="ConsPlusNormal"/>
        <w:jc w:val="both"/>
      </w:pPr>
    </w:p>
    <w:p w:rsidR="004D5B27" w:rsidRDefault="004D5B2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D5B27" w:rsidRDefault="004D5B27">
      <w:pPr>
        <w:pStyle w:val="ConsPlusNormal"/>
        <w:spacing w:before="220"/>
        <w:ind w:firstLine="540"/>
        <w:jc w:val="both"/>
      </w:pPr>
      <w:r>
        <w:t>- при выявлении новых коррупционных рисков;</w:t>
      </w:r>
    </w:p>
    <w:p w:rsidR="004D5B27" w:rsidRDefault="004D5B27">
      <w:pPr>
        <w:pStyle w:val="ConsPlusNormal"/>
        <w:spacing w:before="220"/>
        <w:ind w:firstLine="540"/>
        <w:jc w:val="both"/>
      </w:pPr>
      <w:r>
        <w:t>- при иных обстоятельствах.</w:t>
      </w:r>
    </w:p>
    <w:p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4D5B27" w:rsidRDefault="004D5B27">
      <w:pPr>
        <w:pStyle w:val="ConsPlusNormal"/>
        <w:jc w:val="both"/>
      </w:pPr>
    </w:p>
    <w:p w:rsidR="004D5B27" w:rsidRDefault="004D5B27">
      <w:pPr>
        <w:pStyle w:val="ConsPlusTitle"/>
        <w:ind w:firstLine="540"/>
        <w:jc w:val="both"/>
        <w:outlineLvl w:val="2"/>
      </w:pPr>
      <w:r>
        <w:t>Разработка мер по минимизации коррупционных рисков</w:t>
      </w:r>
    </w:p>
    <w:p w:rsidR="004D5B27" w:rsidRDefault="004D5B27">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D5B27" w:rsidRDefault="004D5B27">
      <w:pPr>
        <w:pStyle w:val="ConsPlusNormal"/>
        <w:spacing w:before="220"/>
        <w:ind w:firstLine="540"/>
        <w:jc w:val="both"/>
      </w:pPr>
      <w:r>
        <w:t>3.36. Минимизация коррупционных рисков предполагает следующее:</w:t>
      </w:r>
    </w:p>
    <w:p w:rsidR="004D5B27" w:rsidRDefault="004D5B27">
      <w:pPr>
        <w:pStyle w:val="ConsPlusNormal"/>
        <w:spacing w:before="220"/>
        <w:ind w:firstLine="540"/>
        <w:jc w:val="both"/>
      </w:pPr>
      <w:r>
        <w:lastRenderedPageBreak/>
        <w:t>- определение возможных мер, направленных на минимизацию коррупционных рисков;</w:t>
      </w:r>
    </w:p>
    <w:p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4D5B27" w:rsidRDefault="004D5B27">
      <w:pPr>
        <w:pStyle w:val="ConsPlusNormal"/>
        <w:spacing w:before="220"/>
        <w:ind w:firstLine="540"/>
        <w:jc w:val="both"/>
      </w:pPr>
      <w:r>
        <w:t>- выбор наиболее эффективных мер по минимизации;</w:t>
      </w:r>
    </w:p>
    <w:p w:rsidR="004D5B27" w:rsidRDefault="004D5B27">
      <w:pPr>
        <w:pStyle w:val="ConsPlusNormal"/>
        <w:spacing w:before="220"/>
        <w:ind w:firstLine="540"/>
        <w:jc w:val="both"/>
      </w:pPr>
      <w:r>
        <w:t>- определение ответственных за реализацию мероприятий по минимизации;</w:t>
      </w:r>
    </w:p>
    <w:p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rsidR="004D5B27" w:rsidRDefault="004D5B27">
      <w:pPr>
        <w:pStyle w:val="ConsPlusNormal"/>
        <w:spacing w:before="220"/>
        <w:ind w:firstLine="540"/>
        <w:jc w:val="both"/>
      </w:pPr>
      <w:r>
        <w:t>- определение конкретного результата от реализации меры;</w:t>
      </w:r>
    </w:p>
    <w:p w:rsidR="004D5B27" w:rsidRDefault="004D5B27">
      <w:pPr>
        <w:pStyle w:val="ConsPlusNormal"/>
        <w:spacing w:before="220"/>
        <w:ind w:firstLine="540"/>
        <w:jc w:val="both"/>
      </w:pPr>
      <w:r>
        <w:t>- установление механизмов контроля и мониторинга;</w:t>
      </w:r>
    </w:p>
    <w:p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4D5B27" w:rsidRDefault="004D5B27">
      <w:pPr>
        <w:pStyle w:val="ConsPlusNormal"/>
        <w:spacing w:before="220"/>
        <w:ind w:firstLine="540"/>
        <w:jc w:val="both"/>
      </w:pPr>
      <w:r>
        <w:t>- определение необходимых ресурсов;</w:t>
      </w:r>
    </w:p>
    <w:p w:rsidR="004D5B27" w:rsidRDefault="004D5B27">
      <w:pPr>
        <w:pStyle w:val="ConsPlusNormal"/>
        <w:spacing w:before="220"/>
        <w:ind w:firstLine="540"/>
        <w:jc w:val="both"/>
      </w:pPr>
      <w:r>
        <w:t>- иные аспекты.</w:t>
      </w:r>
    </w:p>
    <w:p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4D5B27" w:rsidRDefault="004D5B27">
      <w:pPr>
        <w:pStyle w:val="ConsPlusNormal"/>
        <w:spacing w:before="220"/>
        <w:ind w:firstLine="540"/>
        <w:jc w:val="both"/>
      </w:pPr>
      <w:r>
        <w:t xml:space="preserve">- усиление контроля за недопущением совершения коррупционных правонарушений при </w:t>
      </w:r>
      <w:r>
        <w:lastRenderedPageBreak/>
        <w:t>осуществлении закупочных процедур;</w:t>
      </w:r>
    </w:p>
    <w:p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4D5B27" w:rsidRDefault="004D5B27">
      <w:pPr>
        <w:pStyle w:val="ConsPlusNormal"/>
        <w:spacing w:before="220"/>
        <w:ind w:firstLine="540"/>
        <w:jc w:val="both"/>
      </w:pPr>
      <w:r>
        <w:t>- проведение правового просвещения и информирования;</w:t>
      </w:r>
    </w:p>
    <w:p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4D5B27" w:rsidRDefault="004D5B27">
      <w:pPr>
        <w:pStyle w:val="ConsPlusNormal"/>
        <w:spacing w:before="220"/>
        <w:ind w:firstLine="540"/>
        <w:jc w:val="both"/>
      </w:pPr>
      <w:r>
        <w:t>1) Организация и регламентация процессов, в том числе:</w:t>
      </w:r>
    </w:p>
    <w:p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4D5B27" w:rsidRDefault="004D5B27">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4D5B27" w:rsidRDefault="004D5B27">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2) Совершенствование контрольных и мониторинговых процедур, в том числе:</w:t>
      </w:r>
    </w:p>
    <w:p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5B27" w:rsidRDefault="004D5B27">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3) Информационные и образовательные мероприятия, в том числе:</w:t>
      </w:r>
    </w:p>
    <w:p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4D5B27" w:rsidRDefault="004D5B27">
      <w:pPr>
        <w:pStyle w:val="ConsPlusNormal"/>
        <w:spacing w:before="220"/>
        <w:ind w:firstLine="540"/>
        <w:jc w:val="both"/>
      </w:pPr>
      <w:r>
        <w:t xml:space="preserve">- проведение методических совещаний, семинаров, круглых столов по вопросам противодействия </w:t>
      </w:r>
      <w:r>
        <w:lastRenderedPageBreak/>
        <w:t>коррупции в закупочной деятельности;</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4D5B27" w:rsidRDefault="004D5B27">
      <w:pPr>
        <w:pStyle w:val="ConsPlusNormal"/>
        <w:jc w:val="both"/>
      </w:pPr>
    </w:p>
    <w:p w:rsidR="004D5B27" w:rsidRDefault="004D5B27">
      <w:pPr>
        <w:pStyle w:val="ConsPlusTitle"/>
        <w:ind w:firstLine="540"/>
        <w:jc w:val="both"/>
        <w:outlineLvl w:val="2"/>
      </w:pPr>
      <w:r>
        <w:t>Утверждение результатов оценки коррупционных рисков</w:t>
      </w:r>
    </w:p>
    <w:p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4D5B27" w:rsidRDefault="004D5B27">
      <w:pPr>
        <w:pStyle w:val="ConsPlusNormal"/>
        <w:jc w:val="both"/>
      </w:pPr>
    </w:p>
    <w:p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4D5B27" w:rsidRDefault="004D5B27">
      <w:pPr>
        <w:pStyle w:val="ConsPlusNormal"/>
        <w:jc w:val="both"/>
      </w:pPr>
    </w:p>
    <w:p w:rsidR="004D5B27" w:rsidRDefault="004D5B27">
      <w:pPr>
        <w:pStyle w:val="ConsPlusTitle"/>
        <w:ind w:firstLine="540"/>
        <w:jc w:val="both"/>
        <w:outlineLvl w:val="2"/>
      </w:pPr>
      <w:r>
        <w:t>Мониторинг реализации мер по минимизации выявленных коррупционных рисков</w:t>
      </w:r>
    </w:p>
    <w:p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D5B27" w:rsidRDefault="004D5B27">
      <w:pPr>
        <w:pStyle w:val="ConsPlusNormal"/>
        <w:spacing w:before="220"/>
        <w:ind w:firstLine="540"/>
        <w:jc w:val="both"/>
      </w:pPr>
      <w:r>
        <w:t xml:space="preserve">3.49. Мониторинг целесообразно проводить на регулярной основе (например, раз в полгода), а </w:t>
      </w:r>
      <w:r>
        <w:lastRenderedPageBreak/>
        <w:t>также по мере необходимости.</w:t>
      </w:r>
    </w:p>
    <w:p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1</w:t>
      </w:r>
    </w:p>
    <w:p w:rsidR="004D5B27" w:rsidRDefault="004D5B27">
      <w:pPr>
        <w:pStyle w:val="ConsPlusNormal"/>
        <w:jc w:val="both"/>
      </w:pPr>
    </w:p>
    <w:p w:rsidR="004D5B27" w:rsidRDefault="004D5B27">
      <w:pPr>
        <w:pStyle w:val="ConsPlusTitle"/>
        <w:jc w:val="center"/>
      </w:pPr>
      <w:bookmarkStart w:id="8" w:name="P350"/>
      <w:bookmarkEnd w:id="8"/>
      <w:r>
        <w:t>ФУНКЦИОНАЛЬНЫЕ ЭЛЕМЕНТЫ БЛОК-СХЕМЫ</w:t>
      </w:r>
    </w:p>
    <w:p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5272"/>
      </w:tblGrid>
      <w:tr w:rsidR="004D5B27">
        <w:tc>
          <w:tcPr>
            <w:tcW w:w="3798" w:type="dxa"/>
            <w:tcBorders>
              <w:left w:val="nil"/>
            </w:tcBorders>
          </w:tcPr>
          <w:p w:rsidR="004D5B27" w:rsidRDefault="004D5B27">
            <w:pPr>
              <w:pStyle w:val="ConsPlusNormal"/>
              <w:jc w:val="center"/>
            </w:pPr>
            <w:r>
              <w:t>Изображение элемента</w:t>
            </w:r>
          </w:p>
        </w:tc>
        <w:tc>
          <w:tcPr>
            <w:tcW w:w="5272" w:type="dxa"/>
            <w:tcBorders>
              <w:right w:val="nil"/>
            </w:tcBorders>
          </w:tcPr>
          <w:p w:rsidR="004D5B27" w:rsidRDefault="004D5B27">
            <w:pPr>
              <w:pStyle w:val="ConsPlusNormal"/>
              <w:jc w:val="center"/>
            </w:pPr>
            <w:r>
              <w:t>Описание</w:t>
            </w:r>
          </w:p>
        </w:tc>
      </w:tr>
      <w:tr w:rsidR="004D5B27">
        <w:tc>
          <w:tcPr>
            <w:tcW w:w="3798" w:type="dxa"/>
            <w:tcBorders>
              <w:left w:val="nil"/>
            </w:tcBorders>
            <w:vAlign w:val="center"/>
          </w:tcPr>
          <w:p w:rsidR="004D5B27" w:rsidRDefault="00C41FE7">
            <w:pPr>
              <w:pStyle w:val="ConsPlusNormal"/>
              <w:jc w:val="center"/>
            </w:pPr>
            <w:r w:rsidRPr="000D28BC">
              <w:rPr>
                <w:position w:val="-29"/>
              </w:rPr>
              <w:pict>
                <v:shape id="_x0000_i1026" style="width:113.25pt;height:41.25pt" coordsize="" o:spt="100" adj="0,,0" path="" filled="f" stroked="f">
                  <v:stroke joinstyle="miter"/>
                  <v:imagedata r:id="rId20" o:title="base_1_363998_32769"/>
                  <v:formulas/>
                  <v:path o:connecttype="segments"/>
                </v:shape>
              </w:pict>
            </w:r>
          </w:p>
        </w:tc>
        <w:tc>
          <w:tcPr>
            <w:tcW w:w="5272" w:type="dxa"/>
            <w:tcBorders>
              <w:right w:val="nil"/>
            </w:tcBorders>
          </w:tcPr>
          <w:p w:rsidR="004D5B27" w:rsidRDefault="004D5B27">
            <w:pPr>
              <w:pStyle w:val="ConsPlusNormal"/>
            </w:pPr>
            <w:r>
              <w:t>Начало (конец) процедуры осуществления закупки</w:t>
            </w:r>
          </w:p>
        </w:tc>
      </w:tr>
      <w:tr w:rsidR="004D5B27">
        <w:tc>
          <w:tcPr>
            <w:tcW w:w="3798" w:type="dxa"/>
            <w:tcBorders>
              <w:left w:val="nil"/>
            </w:tcBorders>
            <w:vAlign w:val="center"/>
          </w:tcPr>
          <w:p w:rsidR="004D5B27" w:rsidRDefault="00C41FE7">
            <w:pPr>
              <w:pStyle w:val="ConsPlusNormal"/>
              <w:jc w:val="center"/>
            </w:pPr>
            <w:r w:rsidRPr="000D28BC">
              <w:rPr>
                <w:position w:val="-28"/>
              </w:rPr>
              <w:pict>
                <v:shape id="_x0000_i1027" style="width:114.75pt;height:39.75pt" coordsize="" o:spt="100" adj="0,,0" path="" filled="f" stroked="f">
                  <v:stroke joinstyle="miter"/>
                  <v:imagedata r:id="rId21" o:title="base_1_363998_32770"/>
                  <v:formulas/>
                  <v:path o:connecttype="segments"/>
                </v:shape>
              </w:pict>
            </w:r>
          </w:p>
        </w:tc>
        <w:tc>
          <w:tcPr>
            <w:tcW w:w="5272" w:type="dxa"/>
            <w:tcBorders>
              <w:right w:val="nil"/>
            </w:tcBorders>
            <w:vAlign w:val="center"/>
          </w:tcPr>
          <w:p w:rsidR="004D5B27" w:rsidRDefault="004D5B27">
            <w:pPr>
              <w:pStyle w:val="ConsPlusNormal"/>
            </w:pPr>
            <w:r>
              <w:t>Ввод или вывод данны</w:t>
            </w:r>
            <w:bookmarkStart w:id="9" w:name="_GoBack"/>
            <w:bookmarkEnd w:id="9"/>
            <w:r>
              <w:t>х (результата), возникающего при осуществлении закупки</w:t>
            </w:r>
          </w:p>
        </w:tc>
      </w:tr>
      <w:tr w:rsidR="004D5B27">
        <w:tc>
          <w:tcPr>
            <w:tcW w:w="3798" w:type="dxa"/>
            <w:tcBorders>
              <w:left w:val="nil"/>
            </w:tcBorders>
            <w:vAlign w:val="center"/>
          </w:tcPr>
          <w:p w:rsidR="004D5B27" w:rsidRDefault="00C41FE7">
            <w:pPr>
              <w:pStyle w:val="ConsPlusNormal"/>
              <w:jc w:val="center"/>
            </w:pPr>
            <w:r w:rsidRPr="000D28BC">
              <w:rPr>
                <w:position w:val="-29"/>
              </w:rPr>
              <w:pict>
                <v:shape id="_x0000_i1028" style="width:114pt;height:41.25pt" coordsize="" o:spt="100" adj="0,,0" path="" filled="f" stroked="f">
                  <v:stroke joinstyle="miter"/>
                  <v:imagedata r:id="rId22" o:title="base_1_363998_32771"/>
                  <v:formulas/>
                  <v:path o:connecttype="segments"/>
                </v:shape>
              </w:pict>
            </w:r>
          </w:p>
        </w:tc>
        <w:tc>
          <w:tcPr>
            <w:tcW w:w="5272" w:type="dxa"/>
            <w:tcBorders>
              <w:right w:val="nil"/>
            </w:tcBorders>
            <w:vAlign w:val="center"/>
          </w:tcPr>
          <w:p w:rsidR="004D5B27" w:rsidRDefault="004D5B27">
            <w:pPr>
              <w:pStyle w:val="ConsPlusNormal"/>
            </w:pPr>
            <w:r>
              <w:t>Выполнение действия, необходимого для осуществления закупки</w:t>
            </w:r>
          </w:p>
        </w:tc>
      </w:tr>
      <w:tr w:rsidR="004D5B27">
        <w:tc>
          <w:tcPr>
            <w:tcW w:w="3798" w:type="dxa"/>
            <w:tcBorders>
              <w:left w:val="nil"/>
            </w:tcBorders>
            <w:vAlign w:val="center"/>
          </w:tcPr>
          <w:p w:rsidR="004D5B27" w:rsidRDefault="00C41FE7">
            <w:pPr>
              <w:pStyle w:val="ConsPlusNormal"/>
              <w:jc w:val="center"/>
            </w:pPr>
            <w:r w:rsidRPr="000D28BC">
              <w:rPr>
                <w:position w:val="-29"/>
              </w:rPr>
              <w:pict>
                <v:shape id="_x0000_i1029" style="width:117pt;height:40.5pt" coordsize="" o:spt="100" adj="0,,0" path="" filled="f" stroked="f">
                  <v:stroke joinstyle="miter"/>
                  <v:imagedata r:id="rId23" o:title="base_1_363998_32772"/>
                  <v:formulas/>
                  <v:path o:connecttype="segments"/>
                </v:shape>
              </w:pict>
            </w:r>
          </w:p>
        </w:tc>
        <w:tc>
          <w:tcPr>
            <w:tcW w:w="5272" w:type="dxa"/>
            <w:tcBorders>
              <w:right w:val="nil"/>
            </w:tcBorders>
            <w:vAlign w:val="center"/>
          </w:tcPr>
          <w:p w:rsidR="004D5B27" w:rsidRDefault="004D5B27">
            <w:pPr>
              <w:pStyle w:val="ConsPlusNormal"/>
            </w:pPr>
            <w:r>
              <w:t>Принятие решения при осуществлении закупки</w:t>
            </w:r>
          </w:p>
        </w:tc>
      </w:tr>
      <w:tr w:rsidR="004D5B27">
        <w:tc>
          <w:tcPr>
            <w:tcW w:w="3798" w:type="dxa"/>
            <w:tcBorders>
              <w:left w:val="nil"/>
            </w:tcBorders>
            <w:vAlign w:val="center"/>
          </w:tcPr>
          <w:p w:rsidR="004D5B27" w:rsidRDefault="00C41FE7">
            <w:pPr>
              <w:pStyle w:val="ConsPlusNormal"/>
              <w:jc w:val="center"/>
            </w:pPr>
            <w:r w:rsidRPr="000D28BC">
              <w:rPr>
                <w:position w:val="-30"/>
              </w:rPr>
              <w:pict>
                <v:shape id="_x0000_i1030" style="width:114pt;height:41.25pt" coordsize="" o:spt="100" adj="0,,0" path="" filled="f" stroked="f">
                  <v:stroke joinstyle="miter"/>
                  <v:imagedata r:id="rId24" o:title="base_1_363998_32773"/>
                  <v:formulas/>
                  <v:path o:connecttype="segments"/>
                </v:shape>
              </w:pict>
            </w:r>
          </w:p>
        </w:tc>
        <w:tc>
          <w:tcPr>
            <w:tcW w:w="5272" w:type="dxa"/>
            <w:tcBorders>
              <w:right w:val="nil"/>
            </w:tcBorders>
            <w:vAlign w:val="bottom"/>
          </w:tcPr>
          <w:p w:rsidR="004D5B27" w:rsidRDefault="004D5B27">
            <w:pPr>
              <w:pStyle w:val="ConsPlusNormal"/>
            </w:pPr>
            <w:r>
              <w:t>Цикличный процесс, возникающий в процедуре закупки</w:t>
            </w:r>
          </w:p>
        </w:tc>
      </w:tr>
      <w:tr w:rsidR="004D5B27">
        <w:tc>
          <w:tcPr>
            <w:tcW w:w="3798" w:type="dxa"/>
            <w:tcBorders>
              <w:left w:val="nil"/>
            </w:tcBorders>
            <w:vAlign w:val="center"/>
          </w:tcPr>
          <w:p w:rsidR="004D5B27" w:rsidRDefault="00C41FE7">
            <w:pPr>
              <w:pStyle w:val="ConsPlusNormal"/>
              <w:jc w:val="center"/>
            </w:pPr>
            <w:r w:rsidRPr="000D28BC">
              <w:rPr>
                <w:position w:val="-30"/>
              </w:rPr>
              <w:pict>
                <v:shape id="_x0000_i1031" style="width:81.75pt;height:41.25pt" coordsize="" o:spt="100" adj="0,,0" path="" filled="f" stroked="f">
                  <v:stroke joinstyle="miter"/>
                  <v:imagedata r:id="rId25" o:title="base_1_363998_32774"/>
                  <v:formulas/>
                  <v:path o:connecttype="segments"/>
                </v:shape>
              </w:pict>
            </w:r>
          </w:p>
        </w:tc>
        <w:tc>
          <w:tcPr>
            <w:tcW w:w="5272" w:type="dxa"/>
            <w:tcBorders>
              <w:right w:val="nil"/>
            </w:tcBorders>
            <w:vAlign w:val="center"/>
          </w:tcPr>
          <w:p w:rsidR="004D5B27" w:rsidRDefault="004D5B27">
            <w:pPr>
              <w:pStyle w:val="ConsPlusNormal"/>
            </w:pPr>
            <w:r>
              <w:t>Направляющие (указание последовательности)</w:t>
            </w: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2</w:t>
      </w:r>
    </w:p>
    <w:p w:rsidR="004D5B27" w:rsidRDefault="004D5B27">
      <w:pPr>
        <w:pStyle w:val="ConsPlusNormal"/>
        <w:jc w:val="both"/>
      </w:pPr>
    </w:p>
    <w:p w:rsidR="004D5B27" w:rsidRDefault="004D5B27">
      <w:pPr>
        <w:pStyle w:val="ConsPlusNormal"/>
        <w:jc w:val="center"/>
      </w:pPr>
      <w:bookmarkStart w:id="10" w:name="P373"/>
      <w:bookmarkEnd w:id="10"/>
      <w:r>
        <w:t>Рекомендуемая форма</w:t>
      </w:r>
    </w:p>
    <w:p w:rsidR="004D5B27" w:rsidRDefault="004D5B27">
      <w:pPr>
        <w:pStyle w:val="ConsPlusNormal"/>
        <w:jc w:val="center"/>
      </w:pPr>
      <w:r>
        <w:t>реестра (карты) коррупционных рисков, возникающих</w:t>
      </w:r>
    </w:p>
    <w:p w:rsidR="004D5B27" w:rsidRDefault="004D5B27">
      <w:pPr>
        <w:pStyle w:val="ConsPlusNormal"/>
        <w:jc w:val="center"/>
      </w:pPr>
      <w:r>
        <w:t>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871"/>
        <w:gridCol w:w="1587"/>
        <w:gridCol w:w="1757"/>
      </w:tblGrid>
      <w:tr w:rsidR="004D5B27">
        <w:tc>
          <w:tcPr>
            <w:tcW w:w="624" w:type="dxa"/>
            <w:vMerge w:val="restart"/>
          </w:tcPr>
          <w:p w:rsidR="004D5B27" w:rsidRDefault="004D5B27">
            <w:pPr>
              <w:pStyle w:val="ConsPlusNormal"/>
              <w:jc w:val="center"/>
            </w:pPr>
            <w:r>
              <w:lastRenderedPageBreak/>
              <w:t>N п/п</w:t>
            </w:r>
          </w:p>
        </w:tc>
        <w:tc>
          <w:tcPr>
            <w:tcW w:w="1757" w:type="dxa"/>
            <w:vMerge w:val="restart"/>
          </w:tcPr>
          <w:p w:rsidR="004D5B27" w:rsidRDefault="004D5B27">
            <w:pPr>
              <w:pStyle w:val="ConsPlusNormal"/>
              <w:jc w:val="center"/>
            </w:pPr>
            <w:r>
              <w:t>Краткое наименование коррупционного риска</w:t>
            </w:r>
          </w:p>
        </w:tc>
        <w:tc>
          <w:tcPr>
            <w:tcW w:w="1474" w:type="dxa"/>
            <w:vMerge w:val="restart"/>
          </w:tcPr>
          <w:p w:rsidR="004D5B27" w:rsidRDefault="004D5B27">
            <w:pPr>
              <w:pStyle w:val="ConsPlusNormal"/>
              <w:jc w:val="center"/>
            </w:pPr>
            <w:r>
              <w:t>Описание возможной коррупционной схемы</w:t>
            </w:r>
          </w:p>
        </w:tc>
        <w:tc>
          <w:tcPr>
            <w:tcW w:w="1871" w:type="dxa"/>
            <w:vMerge w:val="restart"/>
          </w:tcPr>
          <w:p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4D5B27" w:rsidRDefault="004D5B27">
            <w:pPr>
              <w:pStyle w:val="ConsPlusNormal"/>
              <w:jc w:val="center"/>
            </w:pPr>
            <w:r>
              <w:t>Меры по минимизации коррупционных рисков</w:t>
            </w:r>
          </w:p>
        </w:tc>
      </w:tr>
      <w:tr w:rsidR="004D5B27">
        <w:tc>
          <w:tcPr>
            <w:tcW w:w="624" w:type="dxa"/>
            <w:vMerge/>
          </w:tcPr>
          <w:p w:rsidR="004D5B27" w:rsidRDefault="004D5B27"/>
        </w:tc>
        <w:tc>
          <w:tcPr>
            <w:tcW w:w="1757" w:type="dxa"/>
            <w:vMerge/>
          </w:tcPr>
          <w:p w:rsidR="004D5B27" w:rsidRDefault="004D5B27"/>
        </w:tc>
        <w:tc>
          <w:tcPr>
            <w:tcW w:w="1474" w:type="dxa"/>
            <w:vMerge/>
          </w:tcPr>
          <w:p w:rsidR="004D5B27" w:rsidRDefault="004D5B27"/>
        </w:tc>
        <w:tc>
          <w:tcPr>
            <w:tcW w:w="1871" w:type="dxa"/>
            <w:vMerge/>
          </w:tcPr>
          <w:p w:rsidR="004D5B27" w:rsidRDefault="004D5B27"/>
        </w:tc>
        <w:tc>
          <w:tcPr>
            <w:tcW w:w="1587" w:type="dxa"/>
          </w:tcPr>
          <w:p w:rsidR="004D5B27" w:rsidRDefault="004D5B27">
            <w:pPr>
              <w:pStyle w:val="ConsPlusNormal"/>
              <w:jc w:val="center"/>
            </w:pPr>
            <w:r>
              <w:t>Реализуемые</w:t>
            </w:r>
          </w:p>
        </w:tc>
        <w:tc>
          <w:tcPr>
            <w:tcW w:w="1757" w:type="dxa"/>
          </w:tcPr>
          <w:p w:rsidR="004D5B27" w:rsidRDefault="004D5B27">
            <w:pPr>
              <w:pStyle w:val="ConsPlusNormal"/>
              <w:jc w:val="center"/>
            </w:pPr>
            <w:r>
              <w:t>Предлагаемые</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3</w:t>
      </w:r>
    </w:p>
    <w:p w:rsidR="004D5B27" w:rsidRDefault="004D5B27">
      <w:pPr>
        <w:pStyle w:val="ConsPlusNormal"/>
        <w:jc w:val="both"/>
      </w:pPr>
    </w:p>
    <w:p w:rsidR="004D5B27" w:rsidRDefault="004D5B27">
      <w:pPr>
        <w:pStyle w:val="ConsPlusNormal"/>
        <w:jc w:val="center"/>
      </w:pPr>
      <w:bookmarkStart w:id="11" w:name="P409"/>
      <w:bookmarkEnd w:id="11"/>
      <w:r>
        <w:t>Рекомендуемая форма</w:t>
      </w:r>
    </w:p>
    <w:p w:rsidR="004D5B27" w:rsidRDefault="004D5B27">
      <w:pPr>
        <w:pStyle w:val="ConsPlusNormal"/>
        <w:jc w:val="center"/>
      </w:pPr>
      <w:r>
        <w:t>плана (реестра) мер, направленных на минимизацию</w:t>
      </w:r>
    </w:p>
    <w:p w:rsidR="004D5B27" w:rsidRDefault="004D5B27">
      <w:pPr>
        <w:pStyle w:val="ConsPlusNormal"/>
        <w:jc w:val="center"/>
      </w:pPr>
      <w:r>
        <w:t>коррупционных рисков, возникающих 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984"/>
        <w:gridCol w:w="1587"/>
        <w:gridCol w:w="1644"/>
      </w:tblGrid>
      <w:tr w:rsidR="004D5B27">
        <w:tc>
          <w:tcPr>
            <w:tcW w:w="624" w:type="dxa"/>
          </w:tcPr>
          <w:p w:rsidR="004D5B27" w:rsidRDefault="004D5B27">
            <w:pPr>
              <w:pStyle w:val="ConsPlusNormal"/>
              <w:jc w:val="center"/>
            </w:pPr>
            <w:r>
              <w:t>N п/п</w:t>
            </w:r>
          </w:p>
        </w:tc>
        <w:tc>
          <w:tcPr>
            <w:tcW w:w="1757" w:type="dxa"/>
          </w:tcPr>
          <w:p w:rsidR="004D5B27" w:rsidRDefault="004D5B27">
            <w:pPr>
              <w:pStyle w:val="ConsPlusNormal"/>
              <w:jc w:val="center"/>
            </w:pPr>
            <w:r>
              <w:t>Наименование меры по минимизации коррупционных рисков</w:t>
            </w:r>
          </w:p>
        </w:tc>
        <w:tc>
          <w:tcPr>
            <w:tcW w:w="1474" w:type="dxa"/>
          </w:tcPr>
          <w:p w:rsidR="004D5B27" w:rsidRDefault="004D5B27">
            <w:pPr>
              <w:pStyle w:val="ConsPlusNormal"/>
              <w:jc w:val="center"/>
            </w:pPr>
            <w:r>
              <w:t>Краткое наименование минимизируемого коррупционного риска</w:t>
            </w:r>
          </w:p>
        </w:tc>
        <w:tc>
          <w:tcPr>
            <w:tcW w:w="1984" w:type="dxa"/>
          </w:tcPr>
          <w:p w:rsidR="004D5B27" w:rsidRDefault="004D5B27">
            <w:pPr>
              <w:pStyle w:val="ConsPlusNormal"/>
              <w:jc w:val="center"/>
            </w:pPr>
            <w:r>
              <w:t>Срок (периодичность) реализации</w:t>
            </w:r>
          </w:p>
        </w:tc>
        <w:tc>
          <w:tcPr>
            <w:tcW w:w="1587" w:type="dxa"/>
          </w:tcPr>
          <w:p w:rsidR="004D5B27" w:rsidRDefault="004D5B27">
            <w:pPr>
              <w:pStyle w:val="ConsPlusNormal"/>
              <w:jc w:val="center"/>
            </w:pPr>
            <w:r>
              <w:t>Ответственный за реализацию служащий (работник)</w:t>
            </w:r>
          </w:p>
        </w:tc>
        <w:tc>
          <w:tcPr>
            <w:tcW w:w="1644" w:type="dxa"/>
          </w:tcPr>
          <w:p w:rsidR="004D5B27" w:rsidRDefault="004D5B27">
            <w:pPr>
              <w:pStyle w:val="ConsPlusNormal"/>
              <w:jc w:val="center"/>
            </w:pPr>
            <w:r>
              <w:t>Планируемый результат</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pBdr>
          <w:top w:val="single" w:sz="6" w:space="0" w:color="auto"/>
        </w:pBdr>
        <w:spacing w:before="100" w:after="100"/>
        <w:jc w:val="both"/>
        <w:rPr>
          <w:sz w:val="2"/>
          <w:szCs w:val="2"/>
        </w:rPr>
      </w:pPr>
    </w:p>
    <w:p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5B27"/>
    <w:rsid w:val="000D28BC"/>
    <w:rsid w:val="004D5B27"/>
    <w:rsid w:val="007947AC"/>
    <w:rsid w:val="00C318CA"/>
    <w:rsid w:val="00C41FE7"/>
    <w:rsid w:val="00E85E09"/>
    <w:rsid w:val="00F5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28" Type="http://schemas.microsoft.com/office/2007/relationships/stylesWithEffects" Target="stylesWithEffects.xml"/><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cp:lastPrinted>2021-11-15T12:46:00Z</cp:lastPrinted>
  <dcterms:created xsi:type="dcterms:W3CDTF">2023-11-16T13:05:00Z</dcterms:created>
  <dcterms:modified xsi:type="dcterms:W3CDTF">2023-11-16T13:05:00Z</dcterms:modified>
</cp:coreProperties>
</file>